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29DF" w14:textId="77777777" w:rsidR="00DE13A3" w:rsidRDefault="00067085" w:rsidP="00DE13A3">
      <w:pPr>
        <w:pStyle w:val="NormaleWeb"/>
        <w:spacing w:before="0" w:beforeAutospacing="0" w:after="0" w:afterAutospacing="0"/>
        <w:textAlignment w:val="baseline"/>
        <w:rPr>
          <w:rFonts w:ascii="PT Serif" w:hAnsi="PT Serif"/>
          <w:color w:val="474747"/>
          <w:sz w:val="24"/>
          <w:szCs w:val="24"/>
        </w:rPr>
      </w:pPr>
      <w:bookmarkStart w:id="0" w:name="_Toc21375583"/>
      <w:bookmarkStart w:id="1" w:name="_GoBack"/>
      <w:bookmarkEnd w:id="1"/>
      <w:r w:rsidRPr="00067085">
        <w:rPr>
          <w:rFonts w:ascii="Comic Sans MS" w:eastAsiaTheme="majorEastAsia" w:hAnsi="Comic Sans MS" w:cs="Arial"/>
          <w:color w:val="222222"/>
          <w:sz w:val="24"/>
          <w:szCs w:val="24"/>
          <w:shd w:val="clear" w:color="auto" w:fill="FFFFFF"/>
        </w:rPr>
        <w:t>PERCORSI PER LE COMPETENZE TRASVERSALI E L’ORIENTAMENTO (PCTO)</w:t>
      </w:r>
      <w:bookmarkEnd w:id="0"/>
      <w:r w:rsidR="00DE13A3" w:rsidRPr="00DE13A3">
        <w:rPr>
          <w:rFonts w:ascii="PT Serif" w:hAnsi="PT Serif"/>
          <w:color w:val="474747"/>
          <w:sz w:val="24"/>
          <w:szCs w:val="24"/>
        </w:rPr>
        <w:t xml:space="preserve"> </w:t>
      </w:r>
    </w:p>
    <w:p w14:paraId="0C72417D" w14:textId="77777777" w:rsidR="0060749A" w:rsidRDefault="0060749A" w:rsidP="0060749A">
      <w:pPr>
        <w:spacing w:after="192" w:line="240" w:lineRule="auto"/>
        <w:textAlignment w:val="baseline"/>
        <w:rPr>
          <w:rFonts w:ascii="PT Serif" w:hAnsi="PT Serif" w:cs="Times New Roman"/>
          <w:color w:val="474747"/>
          <w:sz w:val="24"/>
          <w:szCs w:val="24"/>
          <w:lang w:eastAsia="it-IT"/>
        </w:rPr>
      </w:pPr>
    </w:p>
    <w:p w14:paraId="03FB84F4" w14:textId="00A158ED" w:rsidR="0060749A" w:rsidRPr="00DC6895" w:rsidRDefault="0060749A" w:rsidP="00153821">
      <w:pPr>
        <w:spacing w:after="192" w:line="240" w:lineRule="auto"/>
        <w:textAlignment w:val="baseline"/>
        <w:rPr>
          <w:rFonts w:ascii="Comic Sans MS" w:hAnsi="Comic Sans MS" w:cs="Times New Roman"/>
          <w:color w:val="474747"/>
          <w:sz w:val="24"/>
          <w:szCs w:val="24"/>
          <w:lang w:eastAsia="it-IT"/>
        </w:rPr>
      </w:pPr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 xml:space="preserve">Il </w:t>
      </w:r>
      <w:proofErr w:type="spellStart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Miur</w:t>
      </w:r>
      <w:proofErr w:type="spellEnd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 xml:space="preserve"> ha pubblicato il decreto n. 774 del 4 settembre 2019, con il quale </w:t>
      </w:r>
      <w:r w:rsidR="00153821"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adotta</w:t>
      </w:r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 xml:space="preserve"> le Linee Guida relative ai Percorsi per le competenze trasversali e per l’orientamento.</w:t>
      </w:r>
    </w:p>
    <w:p w14:paraId="23134653" w14:textId="4FD23FEA" w:rsidR="00DE13A3" w:rsidRPr="00DC6895" w:rsidRDefault="0060749A" w:rsidP="00DE13A3">
      <w:pPr>
        <w:pStyle w:val="NormaleWeb"/>
        <w:spacing w:before="0" w:beforeAutospacing="0" w:after="0" w:afterAutospacing="0"/>
        <w:textAlignment w:val="baseline"/>
        <w:rPr>
          <w:rFonts w:ascii="Comic Sans MS" w:hAnsi="Comic Sans MS"/>
          <w:color w:val="474747"/>
          <w:sz w:val="24"/>
          <w:szCs w:val="24"/>
        </w:rPr>
      </w:pPr>
      <w:r w:rsidRPr="00DC6895">
        <w:rPr>
          <w:rFonts w:ascii="Comic Sans MS" w:hAnsi="Comic Sans MS"/>
          <w:color w:val="474747"/>
          <w:sz w:val="24"/>
          <w:szCs w:val="24"/>
        </w:rPr>
        <w:t xml:space="preserve">Le </w:t>
      </w:r>
      <w:r w:rsidR="00DE13A3" w:rsidRPr="00DC6895">
        <w:rPr>
          <w:rFonts w:ascii="Comic Sans MS" w:hAnsi="Comic Sans MS"/>
          <w:color w:val="474747"/>
          <w:sz w:val="24"/>
          <w:szCs w:val="24"/>
        </w:rPr>
        <w:t xml:space="preserve">novità introdotte </w:t>
      </w:r>
      <w:r w:rsidR="00DC6895" w:rsidRPr="00DC6895">
        <w:rPr>
          <w:rFonts w:ascii="Comic Sans MS" w:hAnsi="Comic Sans MS"/>
          <w:color w:val="474747"/>
          <w:sz w:val="24"/>
          <w:szCs w:val="24"/>
        </w:rPr>
        <w:t>con la L</w:t>
      </w:r>
      <w:r w:rsidR="00DE13A3" w:rsidRPr="00DC6895">
        <w:rPr>
          <w:rFonts w:ascii="Comic Sans MS" w:hAnsi="Comic Sans MS"/>
          <w:color w:val="474747"/>
          <w:sz w:val="24"/>
          <w:szCs w:val="24"/>
        </w:rPr>
        <w:t>egge di bilancio 2019, che ne ha modificato la denominazione in </w:t>
      </w:r>
      <w:r w:rsidR="00DE13A3" w:rsidRPr="00DC6895">
        <w:rPr>
          <w:rFonts w:ascii="Comic Sans MS" w:hAnsi="Comic Sans MS"/>
          <w:i/>
          <w:iCs/>
          <w:color w:val="474747"/>
          <w:sz w:val="24"/>
          <w:szCs w:val="24"/>
          <w:bdr w:val="none" w:sz="0" w:space="0" w:color="auto" w:frame="1"/>
        </w:rPr>
        <w:t>Percorsi per le competenze trasversali e per l’orientamento</w:t>
      </w:r>
      <w:r w:rsidR="00DE13A3" w:rsidRPr="00DC6895">
        <w:rPr>
          <w:rFonts w:ascii="Comic Sans MS" w:hAnsi="Comic Sans MS"/>
          <w:color w:val="474747"/>
          <w:sz w:val="24"/>
          <w:szCs w:val="24"/>
        </w:rPr>
        <w:t xml:space="preserve"> (ex Alternanza scuola lavoro) </w:t>
      </w:r>
      <w:r w:rsidRPr="00DC6895">
        <w:rPr>
          <w:rFonts w:ascii="Comic Sans MS" w:hAnsi="Comic Sans MS"/>
          <w:color w:val="474747"/>
          <w:sz w:val="24"/>
          <w:szCs w:val="24"/>
        </w:rPr>
        <w:t xml:space="preserve">riguarda </w:t>
      </w:r>
      <w:proofErr w:type="gramStart"/>
      <w:r w:rsidRPr="00DC6895">
        <w:rPr>
          <w:rFonts w:ascii="Comic Sans MS" w:hAnsi="Comic Sans MS"/>
          <w:color w:val="474747"/>
          <w:sz w:val="24"/>
          <w:szCs w:val="24"/>
        </w:rPr>
        <w:t xml:space="preserve">anche </w:t>
      </w:r>
      <w:r w:rsidR="00DE13A3" w:rsidRPr="00DC6895">
        <w:rPr>
          <w:rFonts w:ascii="Comic Sans MS" w:hAnsi="Comic Sans MS"/>
          <w:color w:val="474747"/>
          <w:sz w:val="24"/>
          <w:szCs w:val="24"/>
        </w:rPr>
        <w:t xml:space="preserve"> anche</w:t>
      </w:r>
      <w:proofErr w:type="gramEnd"/>
      <w:r w:rsidR="00DE13A3" w:rsidRPr="00DC6895">
        <w:rPr>
          <w:rFonts w:ascii="Comic Sans MS" w:hAnsi="Comic Sans MS"/>
          <w:color w:val="474747"/>
          <w:sz w:val="24"/>
          <w:szCs w:val="24"/>
        </w:rPr>
        <w:t xml:space="preserve"> la durata:</w:t>
      </w:r>
    </w:p>
    <w:p w14:paraId="7EFBC316" w14:textId="77777777" w:rsidR="00DC6895" w:rsidRPr="00DC6895" w:rsidRDefault="00DE13A3" w:rsidP="009E4F2D">
      <w:pPr>
        <w:pStyle w:val="Paragrafoelenco"/>
        <w:numPr>
          <w:ilvl w:val="0"/>
          <w:numId w:val="4"/>
        </w:numPr>
        <w:spacing w:after="192" w:line="240" w:lineRule="auto"/>
        <w:textAlignment w:val="baseline"/>
        <w:rPr>
          <w:rFonts w:ascii="Comic Sans MS" w:hAnsi="Comic Sans MS" w:cs="Times New Roman"/>
          <w:color w:val="474747"/>
          <w:sz w:val="24"/>
          <w:szCs w:val="24"/>
          <w:lang w:eastAsia="it-IT"/>
        </w:rPr>
      </w:pPr>
      <w:proofErr w:type="gramStart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non</w:t>
      </w:r>
      <w:proofErr w:type="gramEnd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 xml:space="preserve"> inferiore a 210 ore nel triennio terminale del percorso di stud</w:t>
      </w:r>
      <w:r w:rsidR="00DC6895"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i degli istituti professionali;</w:t>
      </w:r>
    </w:p>
    <w:p w14:paraId="600563CE" w14:textId="77777777" w:rsidR="00DC6895" w:rsidRPr="00DC6895" w:rsidRDefault="00DE13A3" w:rsidP="009E4F2D">
      <w:pPr>
        <w:pStyle w:val="Paragrafoelenco"/>
        <w:numPr>
          <w:ilvl w:val="0"/>
          <w:numId w:val="4"/>
        </w:numPr>
        <w:spacing w:after="192" w:line="240" w:lineRule="auto"/>
        <w:textAlignment w:val="baseline"/>
        <w:rPr>
          <w:rFonts w:ascii="Comic Sans MS" w:hAnsi="Comic Sans MS" w:cs="Times New Roman"/>
          <w:color w:val="474747"/>
          <w:sz w:val="24"/>
          <w:szCs w:val="24"/>
          <w:lang w:eastAsia="it-IT"/>
        </w:rPr>
      </w:pPr>
      <w:proofErr w:type="gramStart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non</w:t>
      </w:r>
      <w:proofErr w:type="gramEnd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 xml:space="preserve"> inferiore a 150 ore nel secondo biennio e nell’ultimo anno del percorso d</w:t>
      </w:r>
      <w:r w:rsidR="00DC6895"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i studi degli istituti tecnici;</w:t>
      </w:r>
    </w:p>
    <w:p w14:paraId="357DB0CD" w14:textId="37BAB732" w:rsidR="00DE13A3" w:rsidRPr="00DC6895" w:rsidRDefault="00DE13A3" w:rsidP="009E4F2D">
      <w:pPr>
        <w:pStyle w:val="Paragrafoelenco"/>
        <w:numPr>
          <w:ilvl w:val="0"/>
          <w:numId w:val="4"/>
        </w:numPr>
        <w:spacing w:after="192" w:line="240" w:lineRule="auto"/>
        <w:textAlignment w:val="baseline"/>
        <w:rPr>
          <w:rFonts w:ascii="Comic Sans MS" w:hAnsi="Comic Sans MS" w:cs="Times New Roman"/>
          <w:color w:val="474747"/>
          <w:sz w:val="24"/>
          <w:szCs w:val="24"/>
          <w:lang w:eastAsia="it-IT"/>
        </w:rPr>
      </w:pPr>
      <w:proofErr w:type="gramStart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non</w:t>
      </w:r>
      <w:proofErr w:type="gramEnd"/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 xml:space="preserve"> inferiore a 90 ore nel secondo biennio e nel quinto anno dei licei.</w:t>
      </w:r>
    </w:p>
    <w:p w14:paraId="21F80C08" w14:textId="3181BB02" w:rsidR="009E4F2D" w:rsidRPr="00DC6895" w:rsidRDefault="009E4F2D" w:rsidP="009E4F2D">
      <w:pPr>
        <w:pStyle w:val="NormaleWeb"/>
        <w:spacing w:before="0" w:beforeAutospacing="0" w:after="192" w:afterAutospacing="0"/>
        <w:textAlignment w:val="baseline"/>
        <w:rPr>
          <w:rFonts w:ascii="Comic Sans MS" w:hAnsi="Comic Sans MS"/>
          <w:b/>
          <w:color w:val="474747"/>
          <w:sz w:val="24"/>
          <w:szCs w:val="24"/>
        </w:rPr>
      </w:pPr>
      <w:r w:rsidRPr="00DC6895">
        <w:rPr>
          <w:rFonts w:ascii="Comic Sans MS" w:hAnsi="Comic Sans MS"/>
          <w:color w:val="474747"/>
          <w:sz w:val="24"/>
          <w:szCs w:val="24"/>
        </w:rPr>
        <w:t>I nuovi percorsi si fondano su due ambiti</w:t>
      </w:r>
      <w:r w:rsidR="0024509A">
        <w:rPr>
          <w:rFonts w:ascii="Comic Sans MS" w:hAnsi="Comic Sans MS"/>
          <w:color w:val="474747"/>
          <w:sz w:val="24"/>
          <w:szCs w:val="24"/>
        </w:rPr>
        <w:t xml:space="preserve"> fondamentali</w:t>
      </w:r>
      <w:r w:rsidRPr="00DC6895">
        <w:rPr>
          <w:rFonts w:ascii="Comic Sans MS" w:hAnsi="Comic Sans MS"/>
          <w:color w:val="474747"/>
          <w:sz w:val="24"/>
          <w:szCs w:val="24"/>
        </w:rPr>
        <w:t xml:space="preserve">: quello </w:t>
      </w:r>
      <w:r w:rsidRPr="00DC6895">
        <w:rPr>
          <w:rFonts w:ascii="Comic Sans MS" w:hAnsi="Comic Sans MS"/>
          <w:b/>
          <w:color w:val="474747"/>
          <w:sz w:val="24"/>
          <w:szCs w:val="24"/>
        </w:rPr>
        <w:t>orientativo</w:t>
      </w:r>
      <w:r w:rsidRPr="00DC6895">
        <w:rPr>
          <w:rFonts w:ascii="Comic Sans MS" w:hAnsi="Comic Sans MS"/>
          <w:color w:val="474747"/>
          <w:sz w:val="24"/>
          <w:szCs w:val="24"/>
        </w:rPr>
        <w:t xml:space="preserve"> e quello delle </w:t>
      </w:r>
      <w:r w:rsidRPr="00DC6895">
        <w:rPr>
          <w:rFonts w:ascii="Comic Sans MS" w:hAnsi="Comic Sans MS"/>
          <w:b/>
          <w:color w:val="474747"/>
          <w:sz w:val="24"/>
          <w:szCs w:val="24"/>
        </w:rPr>
        <w:t>competenze trasversali.</w:t>
      </w:r>
    </w:p>
    <w:p w14:paraId="43F24887" w14:textId="77777777" w:rsidR="009E4F2D" w:rsidRPr="00DC6895" w:rsidRDefault="009E4F2D" w:rsidP="009E4F2D">
      <w:pPr>
        <w:pStyle w:val="NormaleWeb"/>
        <w:spacing w:before="0" w:beforeAutospacing="0" w:after="0" w:afterAutospacing="0"/>
        <w:textAlignment w:val="baseline"/>
        <w:rPr>
          <w:rFonts w:ascii="Comic Sans MS" w:hAnsi="Comic Sans MS"/>
          <w:color w:val="474747"/>
          <w:sz w:val="24"/>
          <w:szCs w:val="24"/>
        </w:rPr>
      </w:pPr>
      <w:r w:rsidRPr="00DC6895">
        <w:rPr>
          <w:rStyle w:val="Enfasigrassetto"/>
          <w:rFonts w:ascii="Comic Sans MS" w:hAnsi="Comic Sans MS"/>
          <w:color w:val="474747"/>
          <w:sz w:val="24"/>
          <w:szCs w:val="24"/>
          <w:bdr w:val="none" w:sz="0" w:space="0" w:color="auto" w:frame="1"/>
        </w:rPr>
        <w:t>Dimensione orientativa</w:t>
      </w:r>
    </w:p>
    <w:p w14:paraId="40D530AB" w14:textId="3CF4AC4F" w:rsidR="009E4F2D" w:rsidRPr="00DC6895" w:rsidRDefault="009E4F2D" w:rsidP="009E4F2D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Comic Sans MS" w:hAnsi="Comic Sans MS"/>
          <w:color w:val="474747"/>
          <w:sz w:val="24"/>
          <w:szCs w:val="24"/>
          <w:bdr w:val="none" w:sz="0" w:space="0" w:color="auto" w:frame="1"/>
        </w:rPr>
      </w:pPr>
      <w:r w:rsidRPr="00DC6895">
        <w:rPr>
          <w:rStyle w:val="Enfasigrassetto"/>
          <w:rFonts w:ascii="Comic Sans MS" w:hAnsi="Comic Sans MS"/>
          <w:color w:val="474747"/>
          <w:sz w:val="24"/>
          <w:szCs w:val="24"/>
          <w:bdr w:val="none" w:sz="0" w:space="0" w:color="auto" w:frame="1"/>
        </w:rPr>
        <w:t>I</w:t>
      </w:r>
      <w:r w:rsidRPr="00DC6895">
        <w:rPr>
          <w:rStyle w:val="apple-converted-space"/>
          <w:rFonts w:ascii="Comic Sans MS" w:hAnsi="Comic Sans MS"/>
          <w:color w:val="474747"/>
          <w:sz w:val="24"/>
          <w:szCs w:val="24"/>
        </w:rPr>
        <w:t> </w:t>
      </w:r>
      <w:r w:rsidRPr="00DC6895">
        <w:rPr>
          <w:rStyle w:val="Enfasigrassetto"/>
          <w:rFonts w:ascii="Comic Sans MS" w:hAnsi="Comic Sans MS"/>
          <w:color w:val="474747"/>
          <w:sz w:val="24"/>
          <w:szCs w:val="24"/>
          <w:bdr w:val="none" w:sz="0" w:space="0" w:color="auto" w:frame="1"/>
        </w:rPr>
        <w:t>PCTO</w:t>
      </w:r>
      <w:r w:rsidRPr="00DC6895">
        <w:rPr>
          <w:rFonts w:ascii="Comic Sans MS" w:hAnsi="Comic Sans MS"/>
          <w:color w:val="474747"/>
          <w:sz w:val="24"/>
          <w:szCs w:val="24"/>
        </w:rPr>
        <w:t xml:space="preserve">, che le istituzioni scolastiche promuovono per sviluppare le competenze trasversali, </w:t>
      </w:r>
      <w:r w:rsidR="004E7F85">
        <w:rPr>
          <w:rFonts w:ascii="Comic Sans MS" w:hAnsi="Comic Sans MS"/>
          <w:color w:val="474747"/>
          <w:sz w:val="24"/>
          <w:szCs w:val="24"/>
        </w:rPr>
        <w:t>“</w:t>
      </w:r>
      <w:r w:rsidRPr="00DC6895">
        <w:rPr>
          <w:rStyle w:val="Enfasicorsivo"/>
          <w:rFonts w:ascii="Comic Sans MS" w:hAnsi="Comic Sans MS"/>
          <w:color w:val="474747"/>
          <w:sz w:val="24"/>
          <w:szCs w:val="24"/>
          <w:bdr w:val="none" w:sz="0" w:space="0" w:color="auto" w:frame="1"/>
        </w:rPr>
        <w:t>contribuiscono ad esaltare la valenza formativa dell’orientamento in itinere, laddove pongono</w:t>
      </w:r>
      <w:r w:rsidRPr="00DC6895">
        <w:rPr>
          <w:rFonts w:ascii="Comic Sans MS" w:hAnsi="Comic Sans MS"/>
          <w:color w:val="474747"/>
          <w:sz w:val="24"/>
          <w:szCs w:val="24"/>
        </w:rPr>
        <w:t xml:space="preserve"> </w:t>
      </w:r>
      <w:r w:rsidRPr="00DC6895">
        <w:rPr>
          <w:rStyle w:val="Enfasicorsivo"/>
          <w:rFonts w:ascii="Comic Sans MS" w:hAnsi="Comic Sans MS"/>
          <w:color w:val="474747"/>
          <w:sz w:val="24"/>
          <w:szCs w:val="24"/>
          <w:bdr w:val="none" w:sz="0" w:space="0" w:color="auto" w:frame="1"/>
        </w:rPr>
        <w:t>gli studenti nella condizione di maturare un atteggiamento di graduale e sempre maggiore consapevolezza delle proprie vocazioni, in funzione del contesto di riferimento e della realizzazione del proprio progetto personale e sociale, in una logica centrata sull’auto-orientamento</w:t>
      </w:r>
      <w:r w:rsidR="004E7F85">
        <w:rPr>
          <w:rStyle w:val="Enfasicorsivo"/>
          <w:rFonts w:ascii="Comic Sans MS" w:hAnsi="Comic Sans MS"/>
          <w:color w:val="474747"/>
          <w:sz w:val="24"/>
          <w:szCs w:val="24"/>
          <w:bdr w:val="none" w:sz="0" w:space="0" w:color="auto" w:frame="1"/>
        </w:rPr>
        <w:t>”</w:t>
      </w:r>
      <w:r w:rsidRPr="00DC6895">
        <w:rPr>
          <w:rStyle w:val="Enfasicorsivo"/>
          <w:rFonts w:ascii="Comic Sans MS" w:hAnsi="Comic Sans MS"/>
          <w:color w:val="474747"/>
          <w:sz w:val="24"/>
          <w:szCs w:val="24"/>
          <w:bdr w:val="none" w:sz="0" w:space="0" w:color="auto" w:frame="1"/>
        </w:rPr>
        <w:t>.</w:t>
      </w:r>
    </w:p>
    <w:p w14:paraId="335BD2A8" w14:textId="77777777" w:rsidR="00153821" w:rsidRPr="00DC6895" w:rsidRDefault="00153821" w:rsidP="00153821">
      <w:pPr>
        <w:spacing w:after="0" w:line="240" w:lineRule="auto"/>
        <w:textAlignment w:val="baseline"/>
        <w:rPr>
          <w:rFonts w:ascii="Comic Sans MS" w:hAnsi="Comic Sans MS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</w:pPr>
    </w:p>
    <w:p w14:paraId="528B793E" w14:textId="77777777" w:rsidR="00153821" w:rsidRPr="00DC6895" w:rsidRDefault="00153821" w:rsidP="00153821">
      <w:pPr>
        <w:spacing w:after="0" w:line="240" w:lineRule="auto"/>
        <w:textAlignment w:val="baseline"/>
        <w:rPr>
          <w:rFonts w:ascii="Comic Sans MS" w:hAnsi="Comic Sans MS" w:cs="Times New Roman"/>
          <w:color w:val="474747"/>
          <w:sz w:val="24"/>
          <w:szCs w:val="24"/>
          <w:lang w:eastAsia="it-IT"/>
        </w:rPr>
      </w:pPr>
      <w:r w:rsidRPr="00DC6895">
        <w:rPr>
          <w:rFonts w:ascii="Comic Sans MS" w:hAnsi="Comic Sans MS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>Competenze </w:t>
      </w:r>
      <w:r w:rsidRPr="00DC6895">
        <w:rPr>
          <w:rFonts w:ascii="Comic Sans MS" w:hAnsi="Comic Sans MS" w:cs="Times New Roman"/>
          <w:b/>
          <w:bCs/>
          <w:color w:val="474747"/>
          <w:sz w:val="24"/>
          <w:szCs w:val="24"/>
          <w:lang w:eastAsia="it-IT"/>
        </w:rPr>
        <w:t>trasversali</w:t>
      </w:r>
    </w:p>
    <w:p w14:paraId="4BB72DBE" w14:textId="77777777" w:rsidR="00153821" w:rsidRPr="00DC6895" w:rsidRDefault="00153821" w:rsidP="00153821">
      <w:pPr>
        <w:spacing w:after="192" w:line="240" w:lineRule="auto"/>
        <w:textAlignment w:val="baseline"/>
        <w:rPr>
          <w:rFonts w:ascii="Comic Sans MS" w:hAnsi="Comic Sans MS" w:cs="Times New Roman"/>
          <w:color w:val="474747"/>
          <w:sz w:val="24"/>
          <w:szCs w:val="24"/>
          <w:lang w:eastAsia="it-IT"/>
        </w:rPr>
      </w:pPr>
      <w:r w:rsidRPr="00DC6895">
        <w:rPr>
          <w:rFonts w:ascii="Comic Sans MS" w:hAnsi="Comic Sans MS" w:cs="Times New Roman"/>
          <w:color w:val="474747"/>
          <w:sz w:val="24"/>
          <w:szCs w:val="24"/>
          <w:lang w:eastAsia="it-IT"/>
        </w:rPr>
        <w:t>Tutte le attività condotte nei PCTO devono essere finalizzate all’acquisizione delle competenze tipiche dell’indirizzo di studi prescelto e delle competenze trasversali, quali:</w:t>
      </w:r>
    </w:p>
    <w:p w14:paraId="4D62B348" w14:textId="77777777" w:rsidR="00153821" w:rsidRPr="00DC6895" w:rsidRDefault="00153821" w:rsidP="00153821">
      <w:pPr>
        <w:numPr>
          <w:ilvl w:val="0"/>
          <w:numId w:val="5"/>
        </w:numPr>
        <w:spacing w:after="0" w:line="240" w:lineRule="auto"/>
        <w:ind w:left="525"/>
        <w:textAlignment w:val="baseline"/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</w:pPr>
      <w:proofErr w:type="gramStart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>competenza</w:t>
      </w:r>
      <w:proofErr w:type="gramEnd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 xml:space="preserve"> personale, sociale e capacità di imparare a imparare;</w:t>
      </w:r>
    </w:p>
    <w:p w14:paraId="5E84A227" w14:textId="77777777" w:rsidR="00153821" w:rsidRPr="00DC6895" w:rsidRDefault="00153821" w:rsidP="00153821">
      <w:pPr>
        <w:numPr>
          <w:ilvl w:val="0"/>
          <w:numId w:val="5"/>
        </w:numPr>
        <w:spacing w:after="0" w:line="240" w:lineRule="auto"/>
        <w:ind w:left="525"/>
        <w:textAlignment w:val="baseline"/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</w:pPr>
      <w:proofErr w:type="gramStart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>competenza</w:t>
      </w:r>
      <w:proofErr w:type="gramEnd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 xml:space="preserve"> in materia di cittadinanza;</w:t>
      </w:r>
    </w:p>
    <w:p w14:paraId="214D9992" w14:textId="77777777" w:rsidR="00153821" w:rsidRPr="00DC6895" w:rsidRDefault="00153821" w:rsidP="00153821">
      <w:pPr>
        <w:numPr>
          <w:ilvl w:val="0"/>
          <w:numId w:val="5"/>
        </w:numPr>
        <w:spacing w:after="0" w:line="240" w:lineRule="auto"/>
        <w:ind w:left="525"/>
        <w:textAlignment w:val="baseline"/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</w:pPr>
      <w:proofErr w:type="gramStart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>competenza</w:t>
      </w:r>
      <w:proofErr w:type="gramEnd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 xml:space="preserve"> imprenditoriale;</w:t>
      </w:r>
    </w:p>
    <w:p w14:paraId="390942FE" w14:textId="77777777" w:rsidR="00153821" w:rsidRPr="00DC6895" w:rsidRDefault="00153821" w:rsidP="00153821">
      <w:pPr>
        <w:numPr>
          <w:ilvl w:val="0"/>
          <w:numId w:val="5"/>
        </w:numPr>
        <w:spacing w:after="0" w:line="240" w:lineRule="auto"/>
        <w:ind w:left="525"/>
        <w:textAlignment w:val="baseline"/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</w:pPr>
      <w:proofErr w:type="gramStart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>competenza</w:t>
      </w:r>
      <w:proofErr w:type="gramEnd"/>
      <w:r w:rsidRPr="00DC6895">
        <w:rPr>
          <w:rFonts w:ascii="Comic Sans MS" w:eastAsia="Times New Roman" w:hAnsi="Comic Sans MS" w:cs="Times New Roman"/>
          <w:color w:val="474747"/>
          <w:sz w:val="24"/>
          <w:szCs w:val="24"/>
          <w:lang w:eastAsia="it-IT"/>
        </w:rPr>
        <w:t xml:space="preserve"> in materia di consapevolezza ed espressione culturali.</w:t>
      </w:r>
    </w:p>
    <w:p w14:paraId="7C5838A5" w14:textId="77777777" w:rsidR="00153821" w:rsidRPr="00153821" w:rsidRDefault="00153821" w:rsidP="009E4F2D">
      <w:pPr>
        <w:pStyle w:val="NormaleWeb"/>
        <w:spacing w:before="0" w:beforeAutospacing="0" w:after="0" w:afterAutospacing="0"/>
        <w:textAlignment w:val="baseline"/>
        <w:rPr>
          <w:rFonts w:ascii="Comic Sans MS" w:hAnsi="Comic Sans MS"/>
          <w:color w:val="474747"/>
          <w:sz w:val="22"/>
          <w:szCs w:val="22"/>
        </w:rPr>
      </w:pPr>
    </w:p>
    <w:p w14:paraId="563A6DB2" w14:textId="77777777" w:rsidR="00DA1284" w:rsidRDefault="00DA1284"/>
    <w:sectPr w:rsidR="00DA1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D12"/>
    <w:multiLevelType w:val="hybridMultilevel"/>
    <w:tmpl w:val="3DD8E932"/>
    <w:lvl w:ilvl="0" w:tplc="C52CA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F80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4697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A6D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62E9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2A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703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06F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320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37933C85"/>
    <w:multiLevelType w:val="hybridMultilevel"/>
    <w:tmpl w:val="B2F854E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E374FAE"/>
    <w:multiLevelType w:val="multilevel"/>
    <w:tmpl w:val="FDE87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00715"/>
    <w:multiLevelType w:val="hybridMultilevel"/>
    <w:tmpl w:val="49662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C4300"/>
    <w:multiLevelType w:val="hybridMultilevel"/>
    <w:tmpl w:val="E9F04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5"/>
    <w:rsid w:val="00067085"/>
    <w:rsid w:val="00123BDB"/>
    <w:rsid w:val="00153821"/>
    <w:rsid w:val="0020372E"/>
    <w:rsid w:val="0024509A"/>
    <w:rsid w:val="004E7F85"/>
    <w:rsid w:val="00571EF7"/>
    <w:rsid w:val="0060749A"/>
    <w:rsid w:val="00653433"/>
    <w:rsid w:val="00926537"/>
    <w:rsid w:val="009C1A88"/>
    <w:rsid w:val="009E4F2D"/>
    <w:rsid w:val="00DA1284"/>
    <w:rsid w:val="00DC6895"/>
    <w:rsid w:val="00D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B9A47"/>
  <w15:docId w15:val="{1D54D109-5FF1-47F1-8F20-19A97F86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13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DE13A3"/>
  </w:style>
  <w:style w:type="character" w:styleId="Enfasicorsivo">
    <w:name w:val="Emphasis"/>
    <w:basedOn w:val="Carpredefinitoparagrafo"/>
    <w:uiPriority w:val="20"/>
    <w:qFormat/>
    <w:rsid w:val="00DE13A3"/>
    <w:rPr>
      <w:i/>
      <w:iCs/>
    </w:rPr>
  </w:style>
  <w:style w:type="paragraph" w:styleId="Paragrafoelenco">
    <w:name w:val="List Paragraph"/>
    <w:basedOn w:val="Normale"/>
    <w:uiPriority w:val="34"/>
    <w:qFormat/>
    <w:rsid w:val="009E4F2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E4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Maura Pistiglucci</cp:lastModifiedBy>
  <cp:revision>2</cp:revision>
  <dcterms:created xsi:type="dcterms:W3CDTF">2019-10-26T09:54:00Z</dcterms:created>
  <dcterms:modified xsi:type="dcterms:W3CDTF">2019-10-26T09:54:00Z</dcterms:modified>
</cp:coreProperties>
</file>